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rsidR="00D7522C" w:rsidRDefault="00D7522C" w:rsidP="003B4E04">
      <w:pPr>
        <w:pStyle w:val="Author"/>
        <w:spacing w:before="5pt" w:beforeAutospacing="1" w:after="5pt" w:afterAutospacing="1" w:line="6pt" w:lineRule="auto"/>
        <w:rPr>
          <w:sz w:val="16"/>
          <w:szCs w:val="16"/>
        </w:rPr>
      </w:pPr>
    </w:p>
    <w:p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default" r:id="rId8"/>
          <w:headerReference w:type="first" r:id="rId9"/>
          <w:footerReference w:type="first" r:id="rId10"/>
          <w:pgSz w:w="595.30pt" w:h="841.90pt" w:code="9"/>
          <w:pgMar w:top="27pt" w:right="44.65pt" w:bottom="72pt" w:left="44.65pt" w:header="36pt" w:footer="36pt" w:gutter="0pt"/>
          <w:cols w:space="36pt"/>
          <w:titlePg/>
          <w:docGrid w:linePitch="360"/>
        </w:sectPr>
      </w:pPr>
    </w:p>
    <w:p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rsidR="004D72B5" w:rsidRDefault="009303D9" w:rsidP="00972203">
      <w:pPr>
        <w:pStyle w:val="Abstract"/>
        <w:rPr>
          <w:i/>
          <w:iCs/>
        </w:rPr>
      </w:pPr>
      <w:r>
        <w:rPr>
          <w:i/>
          <w:iCs/>
        </w:rPr>
        <w:t>Abstract</w:t>
      </w:r>
      <w:r>
        <w:t>—</w:t>
      </w:r>
      <w:proofErr w:type="gramStart"/>
      <w:r w:rsidR="005B0344" w:rsidRPr="005B0344">
        <w:t>This</w:t>
      </w:r>
      <w:proofErr w:type="gramEnd"/>
      <w:r w:rsidR="005B0344" w:rsidRPr="005B0344">
        <w:t xml:space="preserve">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rsidR="009303D9" w:rsidRPr="005B520E" w:rsidRDefault="009303D9" w:rsidP="00ED0149">
      <w:pPr>
        <w:pStyle w:val="Heading2"/>
      </w:pPr>
      <w:r w:rsidRPr="005B520E">
        <w:t>Maintaining the Integrity of the Specifications</w:t>
      </w:r>
    </w:p>
    <w:p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xml:space="preserve">, dc, and </w:t>
      </w:r>
      <w:proofErr w:type="spellStart"/>
      <w:r w:rsidRPr="005B520E">
        <w:t>rms</w:t>
      </w:r>
      <w:proofErr w:type="spellEnd"/>
      <w:r w:rsidRPr="005B520E">
        <w:t xml:space="preserve">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t>
      </w:r>
      <w:proofErr w:type="spellStart"/>
      <w:r w:rsidRPr="005B520E">
        <w:t>Wb</w:t>
      </w:r>
      <w:proofErr w:type="spellEnd"/>
      <w:r w:rsidRPr="005B520E">
        <w:t>/m2” or “</w:t>
      </w:r>
      <w:proofErr w:type="spellStart"/>
      <w:r w:rsidRPr="005B520E">
        <w:t>webers</w:t>
      </w:r>
      <w:proofErr w:type="spellEnd"/>
      <w:r w:rsidRPr="005B520E">
        <w:t xml:space="preserve"> per square meter”, not </w:t>
      </w:r>
      <w:r w:rsidRPr="005B520E">
        <w:lastRenderedPageBreak/>
        <w:t>“</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 xml:space="preserve">Number equations consecutively. Equation numbers, within parentheses, are to position flush right, as in (1), using a right tab stop. To make your equations more compact, you may use the solidus ( / ), the </w:t>
      </w:r>
      <w:proofErr w:type="spellStart"/>
      <w:r w:rsidRPr="005B520E">
        <w:t>exp</w:t>
      </w:r>
      <w:proofErr w:type="spellEnd"/>
      <w:r w:rsidRPr="005B520E">
        <w:t xml:space="preserve">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star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5B520E">
        <w:lastRenderedPageBreak/>
        <w:t>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trPr>
          <w:cantSplit/>
          <w:trHeight w:val="240"/>
          <w:tblHeader/>
          <w:jc w:val="center"/>
        </w:trPr>
        <w:tc>
          <w:tcPr>
            <w:tcW w:w="36pt" w:type="dxa"/>
            <w:vMerge w:val="restart"/>
            <w:vAlign w:val="center"/>
          </w:tcPr>
          <w:p w:rsidR="009303D9" w:rsidRDefault="009303D9">
            <w:pPr>
              <w:pStyle w:val="tablecolhead"/>
            </w:pPr>
            <w:r>
              <w:t>Table Head</w:t>
            </w:r>
          </w:p>
        </w:tc>
        <w:tc>
          <w:tcPr>
            <w:tcW w:w="207pt" w:type="dxa"/>
            <w:gridSpan w:val="3"/>
            <w:vAlign w:val="center"/>
          </w:tcPr>
          <w:p w:rsidR="009303D9" w:rsidRDefault="009303D9">
            <w:pPr>
              <w:pStyle w:val="tablecolhead"/>
            </w:pPr>
            <w:r>
              <w:t>Table Column Head</w:t>
            </w:r>
          </w:p>
        </w:tc>
      </w:tr>
      <w:tr w:rsidR="009303D9">
        <w:trPr>
          <w:cantSplit/>
          <w:trHeight w:val="240"/>
          <w:tblHeader/>
          <w:jc w:val="center"/>
        </w:trPr>
        <w:tc>
          <w:tcPr>
            <w:tcW w:w="36pt" w:type="dxa"/>
            <w:vMerge/>
          </w:tcPr>
          <w:p w:rsidR="009303D9" w:rsidRDefault="009303D9">
            <w:pPr>
              <w:rPr>
                <w:sz w:val="16"/>
                <w:szCs w:val="16"/>
              </w:rPr>
            </w:pPr>
          </w:p>
        </w:tc>
        <w:tc>
          <w:tcPr>
            <w:tcW w:w="117pt" w:type="dxa"/>
            <w:vAlign w:val="center"/>
          </w:tcPr>
          <w:p w:rsidR="009303D9" w:rsidRDefault="009303D9">
            <w:pPr>
              <w:pStyle w:val="tablecolsubhead"/>
            </w:pPr>
            <w:r>
              <w:t>Table column subhead</w:t>
            </w:r>
          </w:p>
        </w:tc>
        <w:tc>
          <w:tcPr>
            <w:tcW w:w="45pt" w:type="dxa"/>
            <w:vAlign w:val="center"/>
          </w:tcPr>
          <w:p w:rsidR="009303D9" w:rsidRDefault="009303D9">
            <w:pPr>
              <w:pStyle w:val="tablecolsubhead"/>
            </w:pPr>
            <w:r>
              <w:t>Subhead</w:t>
            </w:r>
          </w:p>
        </w:tc>
        <w:tc>
          <w:tcPr>
            <w:tcW w:w="45pt" w:type="dxa"/>
            <w:vAlign w:val="center"/>
          </w:tcPr>
          <w:p w:rsidR="009303D9" w:rsidRDefault="009303D9">
            <w:pPr>
              <w:pStyle w:val="tablecolsubhead"/>
            </w:pPr>
            <w:r>
              <w:t>Subhead</w:t>
            </w:r>
          </w:p>
        </w:tc>
      </w:tr>
      <w:tr w:rsidR="009303D9">
        <w:trPr>
          <w:trHeight w:val="320"/>
          <w:jc w:val="center"/>
        </w:trPr>
        <w:tc>
          <w:tcPr>
            <w:tcW w:w="36pt" w:type="dxa"/>
            <w:vAlign w:val="center"/>
          </w:tcPr>
          <w:p w:rsidR="009303D9" w:rsidRDefault="009303D9">
            <w:pPr>
              <w:pStyle w:val="tablecopy"/>
              <w:rPr>
                <w:sz w:val="8"/>
                <w:szCs w:val="8"/>
              </w:rPr>
            </w:pPr>
            <w:r>
              <w:t>copy</w:t>
            </w:r>
          </w:p>
        </w:tc>
        <w:tc>
          <w:tcPr>
            <w:tcW w:w="117pt" w:type="dxa"/>
            <w:vAlign w:val="center"/>
          </w:tcPr>
          <w:p w:rsidR="009303D9" w:rsidRDefault="009303D9">
            <w:pPr>
              <w:pStyle w:val="tablecopy"/>
            </w:pPr>
            <w:r>
              <w:t>More table copy</w:t>
            </w:r>
            <w:r>
              <w:rPr>
                <w:vertAlign w:val="superscript"/>
              </w:rPr>
              <w:t>a</w:t>
            </w:r>
          </w:p>
        </w:tc>
        <w:tc>
          <w:tcPr>
            <w:tcW w:w="45pt" w:type="dxa"/>
            <w:vAlign w:val="center"/>
          </w:tcPr>
          <w:p w:rsidR="009303D9" w:rsidRDefault="009303D9">
            <w:pPr>
              <w:rPr>
                <w:sz w:val="16"/>
                <w:szCs w:val="16"/>
              </w:rPr>
            </w:pPr>
          </w:p>
        </w:tc>
        <w:tc>
          <w:tcPr>
            <w:tcW w:w="45pt"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rsidR="009303D9" w:rsidRDefault="009303D9" w:rsidP="00A059B3">
      <w:pPr>
        <w:pStyle w:val="Heading5"/>
      </w:pPr>
      <w:r w:rsidRPr="005B520E">
        <w:t>References</w:t>
      </w:r>
    </w:p>
    <w:p w:rsidR="009303D9" w:rsidRPr="005B520E" w:rsidRDefault="009303D9" w:rsidP="00E7596C">
      <w:pPr>
        <w:pStyle w:val="BodyText"/>
      </w:pPr>
      <w:r w:rsidRPr="005B520E">
        <w:t xml:space="preserve">The template will number citations consecutively within brackets [1]. The sentence punctuation follows the bracket [2]. Refer simply to the reference number, as in [3]—do not use </w:t>
      </w:r>
      <w:r w:rsidRPr="005B520E">
        <w:t>“Ref.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rsidR="009303D9" w:rsidRDefault="009303D9" w:rsidP="0004781E">
      <w:pPr>
        <w:pStyle w:val="references"/>
        <w:ind w:start="17.70pt" w:hanging="17.70pt"/>
      </w:pPr>
      <w:r>
        <w:t>J. Clerk Maxwell, A Treatise on Electricity and Magnetism, 3rd ed., vol. 2. Oxford: Clarendon, 1892, pp.68–73.</w:t>
      </w:r>
    </w:p>
    <w:p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rsidR="009303D9" w:rsidRDefault="009303D9" w:rsidP="0004781E">
      <w:pPr>
        <w:pStyle w:val="references"/>
        <w:ind w:start="17.70pt" w:hanging="17.70pt"/>
      </w:pPr>
      <w:r>
        <w:t>K. Elissa, “Title of paper if known,” unpublished.</w:t>
      </w:r>
    </w:p>
    <w:p w:rsidR="009303D9" w:rsidRDefault="009303D9" w:rsidP="0004781E">
      <w:pPr>
        <w:pStyle w:val="references"/>
        <w:ind w:start="17.70pt" w:hanging="17.70pt"/>
      </w:pPr>
      <w:r>
        <w:t>R. Nicole, “Title of paper with only first word capitalized,” J. Name Stand. Abbrev., in press.</w:t>
      </w:r>
    </w:p>
    <w:p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04781E">
      <w:pPr>
        <w:pStyle w:val="references"/>
        <w:ind w:start="17.70pt" w:hanging="17.70pt"/>
      </w:pPr>
      <w:r>
        <w:t>M. Young, The Technical Writer</w:t>
      </w:r>
      <w:r w:rsidR="00E7596C">
        <w:t>’</w:t>
      </w:r>
      <w:r>
        <w:t>s Handbook. Mill Valley, CA: University Science, 1989.</w:t>
      </w:r>
    </w:p>
    <w:p w:rsidR="009303D9" w:rsidRDefault="009303D9" w:rsidP="00836367">
      <w:pPr>
        <w:pStyle w:val="references"/>
        <w:numPr>
          <w:ilvl w:val="0"/>
          <w:numId w:val="0"/>
        </w:numPr>
        <w:ind w:start="18pt" w:hanging="18pt"/>
      </w:pPr>
    </w:p>
    <w:p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0F139F">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rsidR="009303D9" w:rsidRDefault="003B2B40" w:rsidP="005B520E">
      <w:r>
        <w:rPr>
          <w:noProof/>
          <w:lang w:bidi="fa-IR"/>
        </w:rPr>
        <w:drawing>
          <wp:anchor distT="0" distB="0" distL="114300" distR="114300" simplePos="0" relativeHeight="251657728" behindDoc="1" locked="0" layoutInCell="1" allowOverlap="1">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FB2E90" w:rsidRDefault="00FB2E90" w:rsidP="001A3B3D">
      <w:r>
        <w:separator/>
      </w:r>
    </w:p>
  </w:endnote>
  <w:endnote w:type="continuationSeparator" w:id="0">
    <w:p w:rsidR="00FB2E90" w:rsidRDefault="00FB2E90"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20002A87" w:usb1="80000000" w:usb2="00000008" w:usb3="00000000" w:csb0="000001FF" w:csb1="00000000"/>
  </w:font>
  <w:font w:name="Courier New">
    <w:panose1 w:val="02070309020205020404"/>
    <w:charset w:characterSet="iso-8859-1"/>
    <w:family w:val="modern"/>
    <w:pitch w:val="fixed"/>
    <w:sig w:usb0="20002A87" w:usb1="80000000" w:usb2="00000008"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0000012" w:usb3="00000000" w:csb0="0002009F" w:csb1="00000000"/>
  </w:font>
  <w:font w:name="Calibri Light">
    <w:panose1 w:val="020F0302020204030204"/>
    <w:charset w:characterSet="iso-8859-1"/>
    <w:family w:val="swiss"/>
    <w:pitch w:val="variable"/>
    <w:sig w:usb0="A00002EF" w:usb1="4000207B" w:usb2="00000000" w:usb3="00000000" w:csb0="0000019F" w:csb1="00000000"/>
  </w:font>
  <w:font w:name="Calibri">
    <w:panose1 w:val="020F0502020204030204"/>
    <w:charset w:characterSet="iso-8859-1"/>
    <w:family w:val="swiss"/>
    <w:pitch w:val="variable"/>
    <w:sig w:usb0="E00002FF" w:usb1="4000ACFF" w:usb2="00000001" w:usb3="00000000" w:csb0="0000019F" w:csb1="00000000"/>
  </w:font>
  <w:font w:name="Arial">
    <w:panose1 w:val="020B0604020202020204"/>
    <w:charset w:characterSet="iso-8859-1"/>
    <w:family w:val="swiss"/>
    <w:pitch w:val="variable"/>
    <w:sig w:usb0="20002A87" w:usb1="80000000" w:usb2="00000008"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FB2E90" w:rsidRDefault="00FB2E90" w:rsidP="001A3B3D">
      <w:r>
        <w:separator/>
      </w:r>
    </w:p>
  </w:footnote>
  <w:footnote w:type="continuationSeparator" w:id="0">
    <w:p w:rsidR="00FB2E90" w:rsidRDefault="00FB2E90" w:rsidP="001A3B3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0F139F" w:rsidRDefault="000F139F" w:rsidP="000F139F">
    <w:pPr>
      <w:pStyle w:val="Header"/>
    </w:pPr>
    <w:r w:rsidRPr="00135A78">
      <w:t>202</w:t>
    </w:r>
    <w:r>
      <w:t>6</w:t>
    </w:r>
    <w:r w:rsidRPr="00135A78">
      <w:t xml:space="preserve"> </w:t>
    </w:r>
    <w:r>
      <w:t>34</w:t>
    </w:r>
    <w:r w:rsidRPr="00135A78">
      <w:rPr>
        <w:vertAlign w:val="superscript"/>
      </w:rPr>
      <w:t>th</w:t>
    </w:r>
    <w:r>
      <w:t xml:space="preserve"> </w:t>
    </w:r>
    <w:r w:rsidRPr="00135A78">
      <w:t>I</w:t>
    </w:r>
    <w:r>
      <w:t>nternational</w:t>
    </w:r>
    <w:r w:rsidRPr="00135A78">
      <w:t xml:space="preserve"> Conference on Electrical Engineering (ICEE)</w:t>
    </w: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0F139F" w:rsidRDefault="000F139F" w:rsidP="000F139F">
    <w:pPr>
      <w:pStyle w:val="Header"/>
    </w:pPr>
    <w:r w:rsidRPr="00135A78">
      <w:t>202</w:t>
    </w:r>
    <w:r>
      <w:t>6</w:t>
    </w:r>
    <w:r w:rsidRPr="00135A78">
      <w:t xml:space="preserve"> </w:t>
    </w:r>
    <w:r>
      <w:t>3</w:t>
    </w:r>
    <w:r>
      <w:t>4</w:t>
    </w:r>
    <w:r w:rsidRPr="00135A78">
      <w:rPr>
        <w:vertAlign w:val="superscript"/>
      </w:rPr>
      <w:t>th</w:t>
    </w:r>
    <w:r>
      <w:t xml:space="preserve"> </w:t>
    </w:r>
    <w:r w:rsidRPr="00135A78">
      <w:t>I</w:t>
    </w:r>
    <w:r>
      <w:t>nternational</w:t>
    </w:r>
    <w:r w:rsidRPr="00135A78">
      <w:t xml:space="preserve"> Conference on Electrical Engineering (ICEE)</w:t>
    </w:r>
  </w:p>
  <w:p w:rsidR="000F139F" w:rsidRDefault="000F139F">
    <w:pPr>
      <w:pStyle w:val="Header"/>
    </w:pP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0F139F"/>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B2E90"/>
    <w:rsid w:val="00FE711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71A6B4A0-EAD3-46CC-ADAA-318B262C2E6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15</TotalTime>
  <Pages>3</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Administrator</cp:lastModifiedBy>
  <cp:revision>4</cp:revision>
  <dcterms:created xsi:type="dcterms:W3CDTF">2019-01-08T18:42:00Z</dcterms:created>
  <dcterms:modified xsi:type="dcterms:W3CDTF">2026-03-07T09:03:00Z</dcterms:modified>
</cp:coreProperties>
</file>